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5B" w:rsidRPr="00BF1EF2" w:rsidRDefault="00A6355B" w:rsidP="00487F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1EF2">
        <w:rPr>
          <w:rFonts w:ascii="Times New Roman" w:hAnsi="Times New Roman" w:cs="Times New Roman"/>
          <w:b/>
          <w:sz w:val="24"/>
        </w:rPr>
        <w:t>Синтез лазерных керамик</w:t>
      </w:r>
    </w:p>
    <w:p w:rsidR="00EF7489" w:rsidRPr="00BF1EF2" w:rsidRDefault="00EF7489" w:rsidP="00EF748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BF1EF2">
        <w:rPr>
          <w:rFonts w:ascii="Times New Roman" w:hAnsi="Times New Roman" w:cs="Times New Roman"/>
          <w:i/>
          <w:sz w:val="24"/>
        </w:rPr>
        <w:t>В.В. Осипов</w:t>
      </w:r>
    </w:p>
    <w:p w:rsidR="00A6355B" w:rsidRPr="00BF1EF2" w:rsidRDefault="00A6355B" w:rsidP="00487F8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BF1EF2">
        <w:rPr>
          <w:rFonts w:ascii="Times New Roman" w:hAnsi="Times New Roman" w:cs="Times New Roman"/>
          <w:i/>
          <w:sz w:val="24"/>
        </w:rPr>
        <w:t>Институт электрофизики УрО РАН, г. Екатеринбург.</w:t>
      </w:r>
    </w:p>
    <w:p w:rsidR="00A6355B" w:rsidRPr="009A1D74" w:rsidRDefault="00A6355B" w:rsidP="00487F89">
      <w:pPr>
        <w:spacing w:after="0"/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BF1EF2">
        <w:rPr>
          <w:rFonts w:ascii="Times New Roman" w:hAnsi="Times New Roman" w:cs="Times New Roman"/>
          <w:i/>
          <w:sz w:val="24"/>
          <w:lang w:val="en-US"/>
        </w:rPr>
        <w:t>e-mail</w:t>
      </w:r>
      <w:proofErr w:type="gramEnd"/>
      <w:r w:rsidRPr="00BF1EF2">
        <w:rPr>
          <w:rFonts w:ascii="Times New Roman" w:hAnsi="Times New Roman" w:cs="Times New Roman"/>
          <w:i/>
          <w:sz w:val="24"/>
          <w:lang w:val="en-US"/>
        </w:rPr>
        <w:t xml:space="preserve">: </w:t>
      </w:r>
      <w:hyperlink r:id="rId7" w:history="1">
        <w:r w:rsidRPr="00BF1EF2">
          <w:rPr>
            <w:rStyle w:val="a3"/>
            <w:rFonts w:ascii="Times New Roman" w:hAnsi="Times New Roman" w:cs="Times New Roman"/>
            <w:i/>
            <w:sz w:val="24"/>
            <w:lang w:val="en-US"/>
          </w:rPr>
          <w:t>osipov@iep.uran.ru</w:t>
        </w:r>
      </w:hyperlink>
    </w:p>
    <w:p w:rsidR="00487F89" w:rsidRPr="009A1D74" w:rsidRDefault="00487F89" w:rsidP="00487F8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6355B" w:rsidRPr="00BF1EF2" w:rsidRDefault="00A6355B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В последние годы по-прежнему уделяется значительное внимание совершенствованию технологии синтеза </w:t>
      </w:r>
      <w:proofErr w:type="spellStart"/>
      <w:r w:rsidRPr="00BF1EF2">
        <w:rPr>
          <w:rFonts w:ascii="Times New Roman" w:hAnsi="Times New Roman" w:cs="Times New Roman"/>
          <w:sz w:val="24"/>
        </w:rPr>
        <w:t>высокопрозрачных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керамик и созданию на их основе новых материалов. Такие керамики находят широкое применение в качестве активных элементов твердотельных лазеров, оптической брони, колб мощных ламп высокого давления, </w:t>
      </w:r>
      <w:proofErr w:type="spellStart"/>
      <w:r w:rsidRPr="00BF1EF2">
        <w:rPr>
          <w:rFonts w:ascii="Times New Roman" w:hAnsi="Times New Roman" w:cs="Times New Roman"/>
          <w:sz w:val="24"/>
        </w:rPr>
        <w:t>жар</w:t>
      </w:r>
      <w:proofErr w:type="gramStart"/>
      <w:r w:rsidRPr="00BF1EF2">
        <w:rPr>
          <w:rFonts w:ascii="Times New Roman" w:hAnsi="Times New Roman" w:cs="Times New Roman"/>
          <w:sz w:val="24"/>
        </w:rPr>
        <w:t>о</w:t>
      </w:r>
      <w:proofErr w:type="spellEnd"/>
      <w:r w:rsidRPr="00BF1EF2">
        <w:rPr>
          <w:rFonts w:ascii="Times New Roman" w:hAnsi="Times New Roman" w:cs="Times New Roman"/>
          <w:sz w:val="24"/>
        </w:rPr>
        <w:t>-</w:t>
      </w:r>
      <w:proofErr w:type="gramEnd"/>
      <w:r w:rsidRPr="00BF1E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1EF2">
        <w:rPr>
          <w:rFonts w:ascii="Times New Roman" w:hAnsi="Times New Roman" w:cs="Times New Roman"/>
          <w:sz w:val="24"/>
        </w:rPr>
        <w:t>механопрочных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окон </w:t>
      </w:r>
      <w:proofErr w:type="spellStart"/>
      <w:r w:rsidRPr="00BF1EF2">
        <w:rPr>
          <w:rFonts w:ascii="Times New Roman" w:hAnsi="Times New Roman" w:cs="Times New Roman"/>
          <w:sz w:val="24"/>
        </w:rPr>
        <w:t>и.т.д</w:t>
      </w:r>
      <w:proofErr w:type="spellEnd"/>
      <w:r w:rsidRPr="00BF1EF2">
        <w:rPr>
          <w:rFonts w:ascii="Times New Roman" w:hAnsi="Times New Roman" w:cs="Times New Roman"/>
          <w:sz w:val="24"/>
        </w:rPr>
        <w:t>. Связано это с наличием у них</w:t>
      </w:r>
      <w:r w:rsidR="00456860" w:rsidRPr="00BF1EF2">
        <w:rPr>
          <w:rFonts w:ascii="Times New Roman" w:hAnsi="Times New Roman" w:cs="Times New Roman"/>
          <w:sz w:val="24"/>
        </w:rPr>
        <w:t xml:space="preserve"> ряда важных преимуществ перед монокристаллами: большие размеры, улучшенные термодинамические характеристики, возможность синтеза композитных образцов, быстрота производства, меньшие </w:t>
      </w:r>
      <w:proofErr w:type="spellStart"/>
      <w:r w:rsidR="00456860" w:rsidRPr="00BF1EF2">
        <w:rPr>
          <w:rFonts w:ascii="Times New Roman" w:hAnsi="Times New Roman" w:cs="Times New Roman"/>
          <w:sz w:val="24"/>
        </w:rPr>
        <w:t>энергозатраты</w:t>
      </w:r>
      <w:proofErr w:type="spellEnd"/>
      <w:r w:rsidR="00456860" w:rsidRPr="00BF1EF2">
        <w:rPr>
          <w:rFonts w:ascii="Times New Roman" w:hAnsi="Times New Roman" w:cs="Times New Roman"/>
          <w:sz w:val="24"/>
        </w:rPr>
        <w:t>.</w:t>
      </w:r>
    </w:p>
    <w:p w:rsidR="00456860" w:rsidRPr="00BF1EF2" w:rsidRDefault="00456860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Появление таких достоинств у </w:t>
      </w:r>
      <w:proofErr w:type="spellStart"/>
      <w:r w:rsidRPr="00BF1EF2">
        <w:rPr>
          <w:rFonts w:ascii="Times New Roman" w:hAnsi="Times New Roman" w:cs="Times New Roman"/>
          <w:sz w:val="24"/>
        </w:rPr>
        <w:t>высокопрозрачных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керамик связано с применением для их синтеза нанопорошков. Это позволило уменьшить температуру их приготовления примерно на одну треть и </w:t>
      </w:r>
      <w:proofErr w:type="gramStart"/>
      <w:r w:rsidRPr="00BF1EF2">
        <w:rPr>
          <w:rFonts w:ascii="Times New Roman" w:hAnsi="Times New Roman" w:cs="Times New Roman"/>
          <w:sz w:val="24"/>
        </w:rPr>
        <w:t>в следствии</w:t>
      </w:r>
      <w:proofErr w:type="gramEnd"/>
      <w:r w:rsidRPr="00BF1EF2">
        <w:rPr>
          <w:rFonts w:ascii="Times New Roman" w:hAnsi="Times New Roman" w:cs="Times New Roman"/>
          <w:sz w:val="24"/>
        </w:rPr>
        <w:t xml:space="preserve"> действия на на</w:t>
      </w:r>
      <w:r w:rsidR="001D0442" w:rsidRPr="00BF1EF2">
        <w:rPr>
          <w:rFonts w:ascii="Times New Roman" w:hAnsi="Times New Roman" w:cs="Times New Roman"/>
          <w:sz w:val="24"/>
        </w:rPr>
        <w:t>ночастицы мощных капиллярных</w:t>
      </w:r>
      <w:r w:rsidRPr="00BF1EF2">
        <w:rPr>
          <w:rFonts w:ascii="Times New Roman" w:hAnsi="Times New Roman" w:cs="Times New Roman"/>
          <w:sz w:val="24"/>
        </w:rPr>
        <w:t xml:space="preserve"> сил </w:t>
      </w:r>
      <w:r w:rsidR="001D0442" w:rsidRPr="00BF1EF2">
        <w:rPr>
          <w:rFonts w:ascii="Times New Roman" w:hAnsi="Times New Roman" w:cs="Times New Roman"/>
          <w:sz w:val="24"/>
        </w:rPr>
        <w:t xml:space="preserve">получить </w:t>
      </w:r>
      <w:proofErr w:type="spellStart"/>
      <w:r w:rsidR="001D0442" w:rsidRPr="00BF1EF2">
        <w:rPr>
          <w:rFonts w:ascii="Times New Roman" w:hAnsi="Times New Roman" w:cs="Times New Roman"/>
          <w:sz w:val="24"/>
        </w:rPr>
        <w:t>беспористую</w:t>
      </w:r>
      <w:proofErr w:type="spellEnd"/>
      <w:r w:rsidR="001D0442" w:rsidRPr="00BF1EF2">
        <w:rPr>
          <w:rFonts w:ascii="Times New Roman" w:hAnsi="Times New Roman" w:cs="Times New Roman"/>
          <w:sz w:val="24"/>
        </w:rPr>
        <w:t xml:space="preserve">, а значит, и </w:t>
      </w:r>
      <w:proofErr w:type="spellStart"/>
      <w:r w:rsidR="001D0442" w:rsidRPr="00BF1EF2">
        <w:rPr>
          <w:rFonts w:ascii="Times New Roman" w:hAnsi="Times New Roman" w:cs="Times New Roman"/>
          <w:sz w:val="24"/>
        </w:rPr>
        <w:t>высокопрозрачную</w:t>
      </w:r>
      <w:proofErr w:type="spellEnd"/>
      <w:r w:rsidR="001D0442" w:rsidRPr="00BF1EF2">
        <w:rPr>
          <w:rFonts w:ascii="Times New Roman" w:hAnsi="Times New Roman" w:cs="Times New Roman"/>
          <w:sz w:val="24"/>
        </w:rPr>
        <w:t xml:space="preserve"> керамику. </w:t>
      </w:r>
      <w:proofErr w:type="gramStart"/>
      <w:r w:rsidR="001D0442" w:rsidRPr="00BF1EF2">
        <w:rPr>
          <w:rFonts w:ascii="Times New Roman" w:hAnsi="Times New Roman" w:cs="Times New Roman"/>
          <w:sz w:val="24"/>
        </w:rPr>
        <w:t xml:space="preserve">Например, о создании лазерной керамики впервые сообщалось в 1995г.[1], а сейчас благодаря использованию такого подхода непрерывная мощность твердотельных лазеров выросла на два порядка и достигла 105,5 </w:t>
      </w:r>
      <w:r w:rsidR="009A1D74">
        <w:rPr>
          <w:rFonts w:ascii="Times New Roman" w:hAnsi="Times New Roman" w:cs="Times New Roman"/>
          <w:sz w:val="24"/>
        </w:rPr>
        <w:t>к</w:t>
      </w:r>
      <w:r w:rsidR="001D0442" w:rsidRPr="00BF1EF2">
        <w:rPr>
          <w:rFonts w:ascii="Times New Roman" w:hAnsi="Times New Roman" w:cs="Times New Roman"/>
          <w:sz w:val="24"/>
        </w:rPr>
        <w:t xml:space="preserve">Вт [2], а в лазерах на тонких дисках на основе композитной керамики </w:t>
      </w:r>
      <w:r w:rsidR="009A1D74">
        <w:rPr>
          <w:rFonts w:ascii="Times New Roman" w:hAnsi="Times New Roman" w:cs="Times New Roman"/>
          <w:sz w:val="24"/>
        </w:rPr>
        <w:t>с активным элементом диаметром 2</w:t>
      </w:r>
      <w:r w:rsidR="001D0442" w:rsidRPr="00BF1EF2">
        <w:rPr>
          <w:rFonts w:ascii="Times New Roman" w:hAnsi="Times New Roman" w:cs="Times New Roman"/>
          <w:sz w:val="24"/>
        </w:rPr>
        <w:t>5 мм и толщиной 0,2 мм получена непрерывная генерация мощностью 6,5 кВт [3].</w:t>
      </w:r>
      <w:proofErr w:type="gramEnd"/>
    </w:p>
    <w:p w:rsidR="001D0442" w:rsidRPr="00BF1EF2" w:rsidRDefault="001D0442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Создание </w:t>
      </w:r>
      <w:proofErr w:type="spellStart"/>
      <w:r w:rsidRPr="00BF1EF2">
        <w:rPr>
          <w:rFonts w:ascii="Times New Roman" w:hAnsi="Times New Roman" w:cs="Times New Roman"/>
          <w:sz w:val="24"/>
        </w:rPr>
        <w:t>высокопрозрачных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керамик можно условно подразделить на три этапа: получение нанопорошков, их </w:t>
      </w:r>
      <w:proofErr w:type="spellStart"/>
      <w:r w:rsidRPr="00BF1EF2">
        <w:rPr>
          <w:rFonts w:ascii="Times New Roman" w:hAnsi="Times New Roman" w:cs="Times New Roman"/>
          <w:sz w:val="24"/>
        </w:rPr>
        <w:t>компактирование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и спекание компактов. Основные требования к </w:t>
      </w:r>
      <w:proofErr w:type="spellStart"/>
      <w:r w:rsidRPr="00BF1EF2">
        <w:rPr>
          <w:rFonts w:ascii="Times New Roman" w:hAnsi="Times New Roman" w:cs="Times New Roman"/>
          <w:sz w:val="24"/>
        </w:rPr>
        <w:t>нанопорошкам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: малые размеры наночастиц, слабая их агломерация, высокая чистота и кубическая фаза. Наиболее полно этим требованиям отвечают нанопорошки, формирующиеся в лазерном факеле, </w:t>
      </w:r>
      <w:proofErr w:type="gramStart"/>
      <w:r w:rsidRPr="00BF1EF2">
        <w:rPr>
          <w:rFonts w:ascii="Times New Roman" w:hAnsi="Times New Roman" w:cs="Times New Roman"/>
          <w:sz w:val="24"/>
        </w:rPr>
        <w:t>образующимся</w:t>
      </w:r>
      <w:proofErr w:type="gramEnd"/>
      <w:r w:rsidRPr="00BF1EF2">
        <w:rPr>
          <w:rFonts w:ascii="Times New Roman" w:hAnsi="Times New Roman" w:cs="Times New Roman"/>
          <w:sz w:val="24"/>
        </w:rPr>
        <w:t xml:space="preserve"> при воздействии излучения на мишень. Нами </w:t>
      </w:r>
      <w:r w:rsidR="00EF7489" w:rsidRPr="00BF1EF2">
        <w:rPr>
          <w:rFonts w:ascii="Times New Roman" w:hAnsi="Times New Roman" w:cs="Times New Roman"/>
          <w:sz w:val="24"/>
        </w:rPr>
        <w:t>создана</w:t>
      </w:r>
      <w:r w:rsidRPr="00BF1EF2">
        <w:rPr>
          <w:rFonts w:ascii="Times New Roman" w:hAnsi="Times New Roman" w:cs="Times New Roman"/>
          <w:sz w:val="24"/>
        </w:rPr>
        <w:t xml:space="preserve"> технология лазерного синтеза нанопорошков</w:t>
      </w:r>
      <w:r w:rsidR="006740A5" w:rsidRPr="00BF1EF2">
        <w:rPr>
          <w:rFonts w:ascii="Times New Roman" w:hAnsi="Times New Roman" w:cs="Times New Roman"/>
          <w:sz w:val="24"/>
        </w:rPr>
        <w:t xml:space="preserve">. При этом были исследованы основные характеристики лазерного факела, установлены причины появления в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нанопорошке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 крупных бесформенных частиц </w:t>
      </w:r>
      <w:r w:rsidR="00EF7489" w:rsidRPr="00BF1EF2">
        <w:rPr>
          <w:rFonts w:ascii="Times New Roman" w:hAnsi="Times New Roman" w:cs="Times New Roman"/>
          <w:sz w:val="24"/>
        </w:rPr>
        <w:t xml:space="preserve">~100 мкм </w:t>
      </w:r>
      <w:r w:rsidR="006740A5" w:rsidRPr="00BF1EF2">
        <w:rPr>
          <w:rFonts w:ascii="Times New Roman" w:hAnsi="Times New Roman" w:cs="Times New Roman"/>
          <w:sz w:val="24"/>
        </w:rPr>
        <w:t xml:space="preserve">и сферических частиц с диаметром ~1 мм, разработаны методы сепарации и улавливания нанопорошка. В частности, установлено, что появление в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нанопорошке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 крупных бесформенных частиц обусловлено формированием в полупрозрачной мишени тепловой волны, развивающейся от дефекта по лучу к поверхности мишени. Если температура в волне достигает температуры плавления, происходит откол передней поверхности мишени. А появление микронных сферических частиц обусловлено развитием неустойчивости Кельвина-Гельмгольца. Учёт этих факторов позволил при мощности лазера 600 Вт получать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слабоагломерированные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 нанопорошки с производительностью до 80 г/час, со средним размером частиц ~10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нм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 и распределением частиц по размерам 5-45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нм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. </w:t>
      </w:r>
    </w:p>
    <w:p w:rsidR="006740A5" w:rsidRPr="00BF1EF2" w:rsidRDefault="006740A5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При исследовании </w:t>
      </w:r>
      <w:proofErr w:type="spellStart"/>
      <w:r w:rsidRPr="00BF1EF2">
        <w:rPr>
          <w:rFonts w:ascii="Times New Roman" w:hAnsi="Times New Roman" w:cs="Times New Roman"/>
          <w:sz w:val="24"/>
        </w:rPr>
        <w:t>компактирования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нанопорошков показано, что относительная плотность компактов практически не зависит от метода </w:t>
      </w:r>
      <w:proofErr w:type="spellStart"/>
      <w:r w:rsidRPr="00BF1EF2">
        <w:rPr>
          <w:rFonts w:ascii="Times New Roman" w:hAnsi="Times New Roman" w:cs="Times New Roman"/>
          <w:sz w:val="24"/>
        </w:rPr>
        <w:t>компактирования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(одноосное статическое прессование с воздействием ультразвука на наночастицы и без него, </w:t>
      </w:r>
      <w:proofErr w:type="spellStart"/>
      <w:r w:rsidRPr="00BF1EF2">
        <w:rPr>
          <w:rFonts w:ascii="Times New Roman" w:hAnsi="Times New Roman" w:cs="Times New Roman"/>
          <w:sz w:val="24"/>
        </w:rPr>
        <w:t>магнито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-импульсное прессование, холодное изостатическое прессование), а определяется давлением прессования. </w:t>
      </w:r>
    </w:p>
    <w:p w:rsidR="006740A5" w:rsidRPr="00BF1EF2" w:rsidRDefault="009A1D74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д</w:t>
      </w:r>
      <w:r w:rsidR="006740A5" w:rsidRPr="00BF1EF2">
        <w:rPr>
          <w:rFonts w:ascii="Times New Roman" w:hAnsi="Times New Roman" w:cs="Times New Roman"/>
          <w:sz w:val="24"/>
        </w:rPr>
        <w:t>анных по прокаливанию наноп</w:t>
      </w:r>
      <w:r w:rsidR="00EF7489" w:rsidRPr="00BF1EF2">
        <w:rPr>
          <w:rFonts w:ascii="Times New Roman" w:hAnsi="Times New Roman" w:cs="Times New Roman"/>
          <w:sz w:val="24"/>
        </w:rPr>
        <w:t>орошков и компактов были создан ряд методик</w:t>
      </w:r>
      <w:r w:rsidR="006740A5" w:rsidRPr="00BF1EF2">
        <w:rPr>
          <w:rFonts w:ascii="Times New Roman" w:hAnsi="Times New Roman" w:cs="Times New Roman"/>
          <w:sz w:val="24"/>
        </w:rPr>
        <w:t xml:space="preserve"> синтеза </w:t>
      </w:r>
      <w:proofErr w:type="spellStart"/>
      <w:r w:rsidR="006740A5" w:rsidRPr="00BF1EF2">
        <w:rPr>
          <w:rFonts w:ascii="Times New Roman" w:hAnsi="Times New Roman" w:cs="Times New Roman"/>
          <w:sz w:val="24"/>
        </w:rPr>
        <w:t>высокопрозрачных</w:t>
      </w:r>
      <w:proofErr w:type="spellEnd"/>
      <w:r w:rsidR="006740A5" w:rsidRPr="00BF1EF2">
        <w:rPr>
          <w:rFonts w:ascii="Times New Roman" w:hAnsi="Times New Roman" w:cs="Times New Roman"/>
          <w:sz w:val="24"/>
        </w:rPr>
        <w:t xml:space="preserve"> лазерных керамик. Исследована морфология, </w:t>
      </w:r>
      <w:r w:rsidR="006740A5" w:rsidRPr="00BF1EF2">
        <w:rPr>
          <w:rFonts w:ascii="Times New Roman" w:hAnsi="Times New Roman" w:cs="Times New Roman"/>
          <w:sz w:val="24"/>
        </w:rPr>
        <w:lastRenderedPageBreak/>
        <w:t>спектральные и люминесцентные характеристики</w:t>
      </w:r>
      <w:r w:rsidR="00EF7489" w:rsidRPr="00BF1EF2">
        <w:rPr>
          <w:rFonts w:ascii="Times New Roman" w:hAnsi="Times New Roman" w:cs="Times New Roman"/>
          <w:sz w:val="24"/>
        </w:rPr>
        <w:t xml:space="preserve"> </w:t>
      </w:r>
      <w:r w:rsidR="006740A5" w:rsidRPr="00BF1EF2">
        <w:rPr>
          <w:rFonts w:ascii="Times New Roman" w:hAnsi="Times New Roman" w:cs="Times New Roman"/>
          <w:sz w:val="24"/>
        </w:rPr>
        <w:t>лазерных керамик, а также времена жизни наиболее важных лазерных уровней.</w:t>
      </w:r>
      <w:r w:rsidR="00EF7489" w:rsidRPr="00BF1EF2">
        <w:rPr>
          <w:rFonts w:ascii="Times New Roman" w:hAnsi="Times New Roman" w:cs="Times New Roman"/>
          <w:sz w:val="24"/>
        </w:rPr>
        <w:t xml:space="preserve"> При этом показано, что в керамике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>:</w:t>
      </w:r>
      <w:proofErr w:type="gramStart"/>
      <w:r w:rsidR="00EF7489" w:rsidRPr="00BF1EF2">
        <w:rPr>
          <w:rFonts w:ascii="Times New Roman" w:hAnsi="Times New Roman" w:cs="Times New Roman"/>
          <w:sz w:val="24"/>
          <w:lang w:val="en-US"/>
        </w:rPr>
        <w:t>Y</w:t>
      </w:r>
      <w:r w:rsidR="00EF7489" w:rsidRPr="00BF1EF2">
        <w:rPr>
          <w:rFonts w:ascii="Times New Roman" w:hAnsi="Times New Roman" w:cs="Times New Roman"/>
          <w:sz w:val="24"/>
          <w:vertAlign w:val="subscript"/>
        </w:rPr>
        <w:t>2</w:t>
      </w:r>
      <w:r w:rsidR="00EF7489" w:rsidRPr="00BF1EF2">
        <w:rPr>
          <w:rFonts w:ascii="Times New Roman" w:hAnsi="Times New Roman" w:cs="Times New Roman"/>
          <w:sz w:val="24"/>
          <w:lang w:val="en-US"/>
        </w:rPr>
        <w:t>O</w:t>
      </w:r>
      <w:r w:rsidR="00EF7489" w:rsidRPr="00BF1EF2">
        <w:rPr>
          <w:rFonts w:ascii="Times New Roman" w:hAnsi="Times New Roman" w:cs="Times New Roman"/>
          <w:sz w:val="24"/>
          <w:vertAlign w:val="subscript"/>
        </w:rPr>
        <w:t>3</w:t>
      </w:r>
      <w:r w:rsidR="00EF7489" w:rsidRPr="00BF1EF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7489" w:rsidRPr="00BF1EF2">
        <w:rPr>
          <w:rFonts w:ascii="Times New Roman" w:hAnsi="Times New Roman" w:cs="Times New Roman"/>
          <w:sz w:val="24"/>
        </w:rPr>
        <w:t>допированной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Zr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Hf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>, не удаётся получить генерацию даже при полном отсутствии пор.</w:t>
      </w:r>
      <w:proofErr w:type="gramEnd"/>
      <w:r w:rsidR="00EF7489" w:rsidRPr="00BF1EF2">
        <w:rPr>
          <w:rFonts w:ascii="Times New Roman" w:hAnsi="Times New Roman" w:cs="Times New Roman"/>
          <w:sz w:val="24"/>
        </w:rPr>
        <w:t xml:space="preserve"> Найдено, что времена жизни верхнего лазерного уровня </w:t>
      </w:r>
      <w:r w:rsidR="00EF7489" w:rsidRPr="00BF1EF2">
        <w:rPr>
          <w:rFonts w:ascii="Times New Roman" w:hAnsi="Times New Roman" w:cs="Times New Roman"/>
          <w:sz w:val="24"/>
          <w:vertAlign w:val="superscript"/>
        </w:rPr>
        <w:t>4</w:t>
      </w:r>
      <w:r w:rsidR="00EF7489" w:rsidRPr="00BF1EF2">
        <w:rPr>
          <w:rFonts w:ascii="Times New Roman" w:hAnsi="Times New Roman" w:cs="Times New Roman"/>
          <w:sz w:val="24"/>
          <w:lang w:val="en-US"/>
        </w:rPr>
        <w:t>Fe</w:t>
      </w:r>
      <w:r w:rsidR="00EF7489" w:rsidRPr="00BF1EF2">
        <w:rPr>
          <w:rFonts w:ascii="Times New Roman" w:hAnsi="Times New Roman" w:cs="Times New Roman"/>
          <w:sz w:val="24"/>
          <w:vertAlign w:val="subscript"/>
        </w:rPr>
        <w:t>3/2</w:t>
      </w:r>
      <w:r w:rsidR="00EF7489" w:rsidRPr="00BF1EF2">
        <w:rPr>
          <w:rFonts w:ascii="Times New Roman" w:hAnsi="Times New Roman" w:cs="Times New Roman"/>
          <w:sz w:val="24"/>
        </w:rPr>
        <w:t xml:space="preserve"> иона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="00EF7489" w:rsidRPr="00BF1EF2">
        <w:rPr>
          <w:rFonts w:ascii="Times New Roman" w:hAnsi="Times New Roman" w:cs="Times New Roman"/>
          <w:sz w:val="24"/>
          <w:vertAlign w:val="superscript"/>
        </w:rPr>
        <w:t>3+</w:t>
      </w:r>
      <w:r w:rsidR="00EF7489" w:rsidRPr="00BF1EF2">
        <w:rPr>
          <w:rFonts w:ascii="Times New Roman" w:hAnsi="Times New Roman" w:cs="Times New Roman"/>
          <w:sz w:val="24"/>
        </w:rPr>
        <w:t xml:space="preserve"> существенно уменьшаются в присутствии в керамике ионов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Zr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Hf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 xml:space="preserve">. Однако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Hf</w:t>
      </w:r>
      <w:proofErr w:type="spellEnd"/>
      <w:r w:rsidR="00EF7489" w:rsidRPr="00BF1EF2">
        <w:rPr>
          <w:rFonts w:ascii="Times New Roman" w:hAnsi="Times New Roman" w:cs="Times New Roman"/>
          <w:sz w:val="24"/>
          <w:vertAlign w:val="superscript"/>
        </w:rPr>
        <w:t>4+</w:t>
      </w:r>
      <w:r w:rsidR="00EF7489" w:rsidRPr="00BF1E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Zr</w:t>
      </w:r>
      <w:proofErr w:type="spellEnd"/>
      <w:r w:rsidR="00EF7489" w:rsidRPr="00BF1EF2">
        <w:rPr>
          <w:rFonts w:ascii="Times New Roman" w:hAnsi="Times New Roman" w:cs="Times New Roman"/>
          <w:sz w:val="24"/>
          <w:vertAlign w:val="superscript"/>
        </w:rPr>
        <w:t>4+</w:t>
      </w:r>
      <w:r w:rsidR="00EF7489" w:rsidRPr="00BF1EF2">
        <w:rPr>
          <w:rFonts w:ascii="Times New Roman" w:hAnsi="Times New Roman" w:cs="Times New Roman"/>
          <w:sz w:val="24"/>
        </w:rPr>
        <w:t xml:space="preserve"> не могут служить акцепторами энергии </w:t>
      </w:r>
      <w:r w:rsidR="00EF7489" w:rsidRPr="00BF1EF2">
        <w:rPr>
          <w:rFonts w:ascii="Times New Roman" w:hAnsi="Times New Roman" w:cs="Times New Roman"/>
          <w:sz w:val="24"/>
          <w:vertAlign w:val="superscript"/>
        </w:rPr>
        <w:t>4</w:t>
      </w:r>
      <w:r w:rsidR="00EF7489" w:rsidRPr="00BF1EF2">
        <w:rPr>
          <w:rFonts w:ascii="Times New Roman" w:hAnsi="Times New Roman" w:cs="Times New Roman"/>
          <w:sz w:val="24"/>
          <w:lang w:val="en-US"/>
        </w:rPr>
        <w:t>Fe</w:t>
      </w:r>
      <w:r w:rsidR="00EF7489" w:rsidRPr="00BF1EF2">
        <w:rPr>
          <w:rFonts w:ascii="Times New Roman" w:hAnsi="Times New Roman" w:cs="Times New Roman"/>
          <w:sz w:val="24"/>
          <w:vertAlign w:val="subscript"/>
        </w:rPr>
        <w:t>3/2</w:t>
      </w:r>
      <w:r w:rsidR="00EF7489" w:rsidRPr="00BF1EF2">
        <w:rPr>
          <w:rFonts w:ascii="Times New Roman" w:hAnsi="Times New Roman" w:cs="Times New Roman"/>
          <w:sz w:val="24"/>
        </w:rPr>
        <w:t xml:space="preserve"> из-за существенного различия в энергиях возбуждения. Установлено, что расселение </w:t>
      </w:r>
      <w:r w:rsidR="00EF7489" w:rsidRPr="00BF1EF2">
        <w:rPr>
          <w:rFonts w:ascii="Times New Roman" w:hAnsi="Times New Roman" w:cs="Times New Roman"/>
          <w:sz w:val="24"/>
          <w:vertAlign w:val="superscript"/>
        </w:rPr>
        <w:t>4</w:t>
      </w:r>
      <w:r w:rsidR="00EF7489" w:rsidRPr="00BF1EF2">
        <w:rPr>
          <w:rFonts w:ascii="Times New Roman" w:hAnsi="Times New Roman" w:cs="Times New Roman"/>
          <w:sz w:val="24"/>
          <w:lang w:val="en-US"/>
        </w:rPr>
        <w:t>Fe</w:t>
      </w:r>
      <w:r w:rsidR="00EF7489" w:rsidRPr="00BF1EF2">
        <w:rPr>
          <w:rFonts w:ascii="Times New Roman" w:hAnsi="Times New Roman" w:cs="Times New Roman"/>
          <w:sz w:val="24"/>
          <w:vertAlign w:val="subscript"/>
        </w:rPr>
        <w:t>3/2</w:t>
      </w:r>
      <w:r w:rsidR="00EF7489" w:rsidRPr="00BF1EF2">
        <w:rPr>
          <w:rFonts w:ascii="Times New Roman" w:hAnsi="Times New Roman" w:cs="Times New Roman"/>
          <w:sz w:val="24"/>
        </w:rPr>
        <w:t xml:space="preserve"> происходит через состояния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Hf</w:t>
      </w:r>
      <w:proofErr w:type="spellEnd"/>
      <w:r w:rsidR="00EF7489" w:rsidRPr="00BF1EF2">
        <w:rPr>
          <w:rFonts w:ascii="Times New Roman" w:hAnsi="Times New Roman" w:cs="Times New Roman"/>
          <w:sz w:val="24"/>
          <w:vertAlign w:val="superscript"/>
        </w:rPr>
        <w:t>3+</w:t>
      </w:r>
      <w:r w:rsidR="00EF7489" w:rsidRPr="00BF1E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Zr</w:t>
      </w:r>
      <w:proofErr w:type="spellEnd"/>
      <w:r w:rsidR="00EF7489" w:rsidRPr="00BF1EF2">
        <w:rPr>
          <w:rFonts w:ascii="Times New Roman" w:hAnsi="Times New Roman" w:cs="Times New Roman"/>
          <w:sz w:val="24"/>
          <w:vertAlign w:val="superscript"/>
        </w:rPr>
        <w:t>3+</w:t>
      </w:r>
      <w:r w:rsidR="00EF7489" w:rsidRPr="00BF1EF2">
        <w:rPr>
          <w:rFonts w:ascii="Times New Roman" w:hAnsi="Times New Roman" w:cs="Times New Roman"/>
          <w:sz w:val="24"/>
        </w:rPr>
        <w:t xml:space="preserve">, наличие которых в нашей керамике установлено методом электронного парамагнитного резонанса. </w:t>
      </w:r>
    </w:p>
    <w:p w:rsidR="00487F89" w:rsidRPr="00BF1EF2" w:rsidRDefault="00EF7489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Замена </w:t>
      </w:r>
      <w:proofErr w:type="spellStart"/>
      <w:r w:rsidRPr="00BF1EF2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F1EF2">
        <w:rPr>
          <w:rFonts w:ascii="Times New Roman" w:hAnsi="Times New Roman" w:cs="Times New Roman"/>
          <w:sz w:val="24"/>
          <w:lang w:val="en-US"/>
        </w:rPr>
        <w:t>Yb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позволила с</w:t>
      </w:r>
      <w:r w:rsidR="006740A5" w:rsidRPr="00BF1EF2">
        <w:rPr>
          <w:rFonts w:ascii="Times New Roman" w:hAnsi="Times New Roman" w:cs="Times New Roman"/>
          <w:sz w:val="24"/>
        </w:rPr>
        <w:t>овместно с ИЛФ СО РАН впервые пол</w:t>
      </w:r>
      <w:r w:rsidRPr="00BF1EF2">
        <w:rPr>
          <w:rFonts w:ascii="Times New Roman" w:hAnsi="Times New Roman" w:cs="Times New Roman"/>
          <w:sz w:val="24"/>
        </w:rPr>
        <w:t>учить высокоэффективную генерацию</w:t>
      </w:r>
      <w:r w:rsidR="006740A5" w:rsidRPr="00BF1EF2">
        <w:rPr>
          <w:rFonts w:ascii="Times New Roman" w:hAnsi="Times New Roman" w:cs="Times New Roman"/>
          <w:sz w:val="24"/>
        </w:rPr>
        <w:t xml:space="preserve"> </w:t>
      </w:r>
      <w:r w:rsidR="00487F89" w:rsidRPr="00BF1EF2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487F89" w:rsidRPr="00BF1EF2">
        <w:rPr>
          <w:rFonts w:ascii="Times New Roman" w:hAnsi="Times New Roman" w:cs="Times New Roman"/>
          <w:sz w:val="24"/>
        </w:rPr>
        <w:t>сильноразупорядоченной</w:t>
      </w:r>
      <w:proofErr w:type="spellEnd"/>
      <w:r w:rsidR="00487F89" w:rsidRPr="00BF1EF2">
        <w:rPr>
          <w:rFonts w:ascii="Times New Roman" w:hAnsi="Times New Roman" w:cs="Times New Roman"/>
          <w:sz w:val="24"/>
        </w:rPr>
        <w:t xml:space="preserve"> керамике на основе </w:t>
      </w:r>
      <w:r w:rsidR="00487F89" w:rsidRPr="00BF1EF2">
        <w:rPr>
          <w:rFonts w:ascii="Times New Roman" w:hAnsi="Times New Roman" w:cs="Times New Roman"/>
          <w:sz w:val="24"/>
          <w:lang w:val="en-US"/>
        </w:rPr>
        <w:t>Y</w:t>
      </w:r>
      <w:r w:rsidR="00487F89" w:rsidRPr="00BF1EF2">
        <w:rPr>
          <w:rFonts w:ascii="Times New Roman" w:hAnsi="Times New Roman" w:cs="Times New Roman"/>
          <w:sz w:val="24"/>
          <w:vertAlign w:val="subscript"/>
        </w:rPr>
        <w:t>2</w:t>
      </w:r>
      <w:r w:rsidR="00487F89" w:rsidRPr="00BF1EF2">
        <w:rPr>
          <w:rFonts w:ascii="Times New Roman" w:hAnsi="Times New Roman" w:cs="Times New Roman"/>
          <w:sz w:val="24"/>
          <w:lang w:val="en-US"/>
        </w:rPr>
        <w:t>O</w:t>
      </w:r>
      <w:r w:rsidR="00487F89" w:rsidRPr="00BF1EF2">
        <w:rPr>
          <w:rFonts w:ascii="Times New Roman" w:hAnsi="Times New Roman" w:cs="Times New Roman"/>
          <w:sz w:val="24"/>
          <w:vertAlign w:val="subscript"/>
        </w:rPr>
        <w:t>3</w:t>
      </w:r>
      <w:r w:rsidR="00487F89" w:rsidRPr="00BF1EF2">
        <w:rPr>
          <w:rFonts w:ascii="Times New Roman" w:hAnsi="Times New Roman" w:cs="Times New Roman"/>
          <w:sz w:val="24"/>
        </w:rPr>
        <w:t>, с η</w:t>
      </w:r>
      <w:r w:rsidRPr="00BF1EF2">
        <w:rPr>
          <w:rFonts w:ascii="Times New Roman" w:hAnsi="Times New Roman" w:cs="Times New Roman"/>
          <w:sz w:val="24"/>
        </w:rPr>
        <w:t>=29%</w:t>
      </w:r>
      <w:r w:rsidR="00487F89" w:rsidRPr="00BF1EF2">
        <w:rPr>
          <w:rFonts w:ascii="Times New Roman" w:hAnsi="Times New Roman" w:cs="Times New Roman"/>
          <w:sz w:val="24"/>
        </w:rPr>
        <w:t xml:space="preserve"> в непрерывном режиме, а в импульсном – 50%</w:t>
      </w:r>
      <w:r w:rsidRPr="00BF1EF2">
        <w:rPr>
          <w:rFonts w:ascii="Times New Roman" w:hAnsi="Times New Roman" w:cs="Times New Roman"/>
          <w:sz w:val="24"/>
        </w:rPr>
        <w:t xml:space="preserve"> ,совместно с Н</w:t>
      </w:r>
      <w:r w:rsidR="00487F89" w:rsidRPr="00BF1EF2">
        <w:rPr>
          <w:rFonts w:ascii="Times New Roman" w:hAnsi="Times New Roman" w:cs="Times New Roman"/>
          <w:sz w:val="24"/>
        </w:rPr>
        <w:t xml:space="preserve">ациональным институтом оптики (г. Флоренция). Кроме того, </w:t>
      </w:r>
      <w:proofErr w:type="gramStart"/>
      <w:r w:rsidR="00487F89" w:rsidRPr="00BF1EF2">
        <w:rPr>
          <w:rFonts w:ascii="Times New Roman" w:hAnsi="Times New Roman" w:cs="Times New Roman"/>
          <w:sz w:val="24"/>
        </w:rPr>
        <w:t>получены</w:t>
      </w:r>
      <w:proofErr w:type="gramEnd"/>
      <w:r w:rsidR="00487F89" w:rsidRPr="00BF1EF2">
        <w:rPr>
          <w:rFonts w:ascii="Times New Roman" w:hAnsi="Times New Roman" w:cs="Times New Roman"/>
          <w:sz w:val="24"/>
        </w:rPr>
        <w:t xml:space="preserve"> генерация на </w:t>
      </w:r>
      <w:proofErr w:type="spellStart"/>
      <w:r w:rsidR="00487F89" w:rsidRPr="00BF1EF2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="00487F89" w:rsidRPr="00BF1EF2">
        <w:rPr>
          <w:rFonts w:ascii="Times New Roman" w:hAnsi="Times New Roman" w:cs="Times New Roman"/>
          <w:sz w:val="24"/>
        </w:rPr>
        <w:t>:</w:t>
      </w:r>
      <w:r w:rsidR="00487F89" w:rsidRPr="00BF1EF2">
        <w:rPr>
          <w:rFonts w:ascii="Times New Roman" w:hAnsi="Times New Roman" w:cs="Times New Roman"/>
          <w:sz w:val="24"/>
          <w:lang w:val="en-US"/>
        </w:rPr>
        <w:t>YAG</w:t>
      </w:r>
      <w:r w:rsidR="00487F89" w:rsidRPr="00BF1EF2">
        <w:rPr>
          <w:rFonts w:ascii="Times New Roman" w:hAnsi="Times New Roman" w:cs="Times New Roman"/>
          <w:sz w:val="24"/>
        </w:rPr>
        <w:t xml:space="preserve"> керамики с дифференциальной эффективностью η=52</w:t>
      </w:r>
      <w:proofErr w:type="gramStart"/>
      <w:r w:rsidR="00487F89" w:rsidRPr="00BF1EF2">
        <w:rPr>
          <w:rFonts w:ascii="Times New Roman" w:hAnsi="Times New Roman" w:cs="Times New Roman"/>
          <w:sz w:val="24"/>
        </w:rPr>
        <w:t>,7</w:t>
      </w:r>
      <w:proofErr w:type="gramEnd"/>
      <w:r w:rsidR="00487F89" w:rsidRPr="00BF1EF2">
        <w:rPr>
          <w:rFonts w:ascii="Times New Roman" w:hAnsi="Times New Roman" w:cs="Times New Roman"/>
          <w:sz w:val="24"/>
        </w:rPr>
        <w:t xml:space="preserve">% (совместно с Национальным институтом оптики, </w:t>
      </w:r>
      <w:proofErr w:type="spellStart"/>
      <w:r w:rsidR="00487F89" w:rsidRPr="00BF1EF2">
        <w:rPr>
          <w:rFonts w:ascii="Times New Roman" w:hAnsi="Times New Roman" w:cs="Times New Roman"/>
          <w:sz w:val="24"/>
        </w:rPr>
        <w:t>г.Флоренция</w:t>
      </w:r>
      <w:proofErr w:type="spellEnd"/>
      <w:r w:rsidR="00487F89" w:rsidRPr="00BF1EF2">
        <w:rPr>
          <w:rFonts w:ascii="Times New Roman" w:hAnsi="Times New Roman" w:cs="Times New Roman"/>
          <w:sz w:val="24"/>
        </w:rPr>
        <w:t xml:space="preserve">), на Но с η=40% (совместно с ИЛФ СО РАН), </w:t>
      </w:r>
      <w:proofErr w:type="spellStart"/>
      <w:r w:rsidR="00487F89" w:rsidRPr="00BF1EF2">
        <w:rPr>
          <w:rFonts w:ascii="Times New Roman" w:hAnsi="Times New Roman" w:cs="Times New Roman"/>
          <w:sz w:val="24"/>
        </w:rPr>
        <w:t>и.т.д</w:t>
      </w:r>
      <w:proofErr w:type="spellEnd"/>
      <w:r w:rsidR="00487F89" w:rsidRPr="00BF1EF2">
        <w:rPr>
          <w:rFonts w:ascii="Times New Roman" w:hAnsi="Times New Roman" w:cs="Times New Roman"/>
          <w:sz w:val="24"/>
        </w:rPr>
        <w:t>.</w:t>
      </w:r>
    </w:p>
    <w:p w:rsidR="006740A5" w:rsidRPr="00BF1EF2" w:rsidRDefault="00487F89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Создана магнитооптическая керамика на основе </w:t>
      </w:r>
      <w:r w:rsidRPr="00BF1EF2">
        <w:rPr>
          <w:rFonts w:ascii="Times New Roman" w:hAnsi="Times New Roman" w:cs="Times New Roman"/>
          <w:sz w:val="24"/>
          <w:lang w:val="en-US"/>
        </w:rPr>
        <w:t>Tb</w:t>
      </w:r>
      <w:r w:rsidRPr="00BF1EF2">
        <w:rPr>
          <w:rFonts w:ascii="Times New Roman" w:hAnsi="Times New Roman" w:cs="Times New Roman"/>
          <w:sz w:val="24"/>
          <w:vertAlign w:val="subscript"/>
        </w:rPr>
        <w:t>2</w:t>
      </w:r>
      <w:r w:rsidRPr="00BF1EF2">
        <w:rPr>
          <w:rFonts w:ascii="Times New Roman" w:hAnsi="Times New Roman" w:cs="Times New Roman"/>
          <w:sz w:val="24"/>
          <w:lang w:val="en-US"/>
        </w:rPr>
        <w:t>O</w:t>
      </w:r>
      <w:r w:rsidRPr="00BF1EF2">
        <w:rPr>
          <w:rFonts w:ascii="Times New Roman" w:hAnsi="Times New Roman" w:cs="Times New Roman"/>
          <w:sz w:val="24"/>
          <w:vertAlign w:val="subscript"/>
        </w:rPr>
        <w:t>3</w:t>
      </w:r>
      <w:r w:rsidRPr="00BF1EF2">
        <w:rPr>
          <w:rFonts w:ascii="Times New Roman" w:hAnsi="Times New Roman" w:cs="Times New Roman"/>
          <w:sz w:val="24"/>
        </w:rPr>
        <w:t xml:space="preserve"> с прозрачностью 82.5%, что на 10% выше, чем</w:t>
      </w:r>
      <w:r w:rsidR="009A1D74">
        <w:rPr>
          <w:rFonts w:ascii="Times New Roman" w:hAnsi="Times New Roman" w:cs="Times New Roman"/>
          <w:sz w:val="24"/>
        </w:rPr>
        <w:t xml:space="preserve"> у лучших японских образцов</w:t>
      </w:r>
      <w:r w:rsidRPr="00BF1EF2">
        <w:rPr>
          <w:rFonts w:ascii="Times New Roman" w:hAnsi="Times New Roman" w:cs="Times New Roman"/>
          <w:sz w:val="24"/>
        </w:rPr>
        <w:t xml:space="preserve">, и коэффициентом Верде, </w:t>
      </w:r>
      <w:r w:rsidRPr="00BF1EF2">
        <w:rPr>
          <w:rFonts w:ascii="Times New Roman" w:hAnsi="Times New Roman" w:cs="Times New Roman"/>
          <w:sz w:val="24"/>
          <w:lang w:val="en-US"/>
        </w:rPr>
        <w:t>V</w:t>
      </w:r>
      <w:r w:rsidRPr="00BF1EF2">
        <w:rPr>
          <w:rFonts w:ascii="Times New Roman" w:hAnsi="Times New Roman" w:cs="Times New Roman"/>
          <w:sz w:val="24"/>
        </w:rPr>
        <w:t>=120 рад/</w:t>
      </w:r>
      <w:proofErr w:type="spellStart"/>
      <w:r w:rsidRPr="00BF1EF2">
        <w:rPr>
          <w:rFonts w:ascii="Times New Roman" w:hAnsi="Times New Roman" w:cs="Times New Roman"/>
          <w:sz w:val="24"/>
        </w:rPr>
        <w:t>м·Тл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, что в три раза превышает аналогичные параметры в коммерческих </w:t>
      </w:r>
      <w:proofErr w:type="gramStart"/>
      <w:r w:rsidRPr="00BF1EF2">
        <w:rPr>
          <w:rFonts w:ascii="Times New Roman" w:hAnsi="Times New Roman" w:cs="Times New Roman"/>
          <w:sz w:val="24"/>
        </w:rPr>
        <w:t>тербий-галлиевых</w:t>
      </w:r>
      <w:proofErr w:type="gramEnd"/>
      <w:r w:rsidRPr="00BF1EF2">
        <w:rPr>
          <w:rFonts w:ascii="Times New Roman" w:hAnsi="Times New Roman" w:cs="Times New Roman"/>
          <w:sz w:val="24"/>
        </w:rPr>
        <w:t xml:space="preserve"> керамиках.</w:t>
      </w:r>
    </w:p>
    <w:p w:rsidR="00EF7489" w:rsidRPr="009A1D74" w:rsidRDefault="009A1D74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Отработана</w:t>
      </w:r>
      <w:r w:rsidR="00EF7489" w:rsidRPr="00BF1EF2">
        <w:rPr>
          <w:rFonts w:ascii="Times New Roman" w:hAnsi="Times New Roman" w:cs="Times New Roman"/>
          <w:sz w:val="24"/>
        </w:rPr>
        <w:t xml:space="preserve"> технология синтеза </w:t>
      </w:r>
      <w:proofErr w:type="gramStart"/>
      <w:r w:rsidR="00EF7489" w:rsidRPr="00BF1EF2">
        <w:rPr>
          <w:rFonts w:ascii="Times New Roman" w:hAnsi="Times New Roman" w:cs="Times New Roman"/>
          <w:sz w:val="24"/>
        </w:rPr>
        <w:t>композитных</w:t>
      </w:r>
      <w:proofErr w:type="gramEnd"/>
      <w:r w:rsidR="00EF7489" w:rsidRPr="00BF1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Nd</w:t>
      </w:r>
      <w:proofErr w:type="spellEnd"/>
      <w:r w:rsidR="00EF7489" w:rsidRPr="00BF1EF2">
        <w:rPr>
          <w:rFonts w:ascii="Times New Roman" w:hAnsi="Times New Roman" w:cs="Times New Roman"/>
          <w:sz w:val="24"/>
        </w:rPr>
        <w:t>:</w:t>
      </w:r>
      <w:r w:rsidR="00EF7489" w:rsidRPr="00BF1EF2">
        <w:rPr>
          <w:rFonts w:ascii="Times New Roman" w:hAnsi="Times New Roman" w:cs="Times New Roman"/>
          <w:sz w:val="24"/>
          <w:lang w:val="en-US"/>
        </w:rPr>
        <w:t>YAG</w:t>
      </w:r>
      <w:r w:rsidR="00EF7489" w:rsidRPr="00BF1EF2">
        <w:rPr>
          <w:rFonts w:ascii="Times New Roman" w:hAnsi="Times New Roman" w:cs="Times New Roman"/>
          <w:sz w:val="24"/>
        </w:rPr>
        <w:t>/</w:t>
      </w:r>
      <w:proofErr w:type="spellStart"/>
      <w:r w:rsidR="00EF7489" w:rsidRPr="00BF1EF2">
        <w:rPr>
          <w:rFonts w:ascii="Times New Roman" w:hAnsi="Times New Roman" w:cs="Times New Roman"/>
          <w:sz w:val="24"/>
          <w:lang w:val="en-US"/>
        </w:rPr>
        <w:t>CrCa</w:t>
      </w:r>
      <w:proofErr w:type="spellEnd"/>
      <w:proofErr w:type="gramStart"/>
      <w:r w:rsidR="00BF1EF2" w:rsidRPr="00BF1EF2">
        <w:rPr>
          <w:rFonts w:ascii="Times New Roman" w:hAnsi="Times New Roman" w:cs="Times New Roman"/>
          <w:sz w:val="24"/>
        </w:rPr>
        <w:t>:</w:t>
      </w:r>
      <w:r w:rsidR="00EF7489" w:rsidRPr="00BF1EF2">
        <w:rPr>
          <w:rFonts w:ascii="Times New Roman" w:hAnsi="Times New Roman" w:cs="Times New Roman"/>
          <w:sz w:val="24"/>
          <w:lang w:val="en-US"/>
        </w:rPr>
        <w:t>YAG</w:t>
      </w:r>
      <w:proofErr w:type="gramEnd"/>
      <w:r w:rsidR="00BF1EF2" w:rsidRPr="00BF1EF2">
        <w:rPr>
          <w:rFonts w:ascii="Times New Roman" w:hAnsi="Times New Roman" w:cs="Times New Roman"/>
          <w:sz w:val="24"/>
        </w:rPr>
        <w:t xml:space="preserve"> керамик, которые необходимы для создания лазеров, у которых размеры поверхности существенно превосходят толщину активного образца (лазеры на тонких дисках, мощные лазерные системы).</w:t>
      </w:r>
    </w:p>
    <w:p w:rsidR="00CA6989" w:rsidRPr="00CA6989" w:rsidRDefault="009A1D74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Разработана методика</w:t>
      </w:r>
      <w:bookmarkStart w:id="0" w:name="_GoBack"/>
      <w:bookmarkEnd w:id="0"/>
      <w:r w:rsidR="00CA6989">
        <w:rPr>
          <w:rFonts w:ascii="Times New Roman" w:hAnsi="Times New Roman" w:cs="Times New Roman"/>
          <w:sz w:val="24"/>
        </w:rPr>
        <w:t xml:space="preserve"> двухэтапной диффузионной сварки </w:t>
      </w:r>
      <w:r w:rsidR="00CA6989">
        <w:rPr>
          <w:rFonts w:ascii="Times New Roman" w:hAnsi="Times New Roman" w:cs="Times New Roman"/>
          <w:sz w:val="24"/>
          <w:lang w:val="en-US"/>
        </w:rPr>
        <w:t>YAG</w:t>
      </w:r>
      <w:r w:rsidR="00CA6989">
        <w:rPr>
          <w:rFonts w:ascii="Times New Roman" w:hAnsi="Times New Roman" w:cs="Times New Roman"/>
          <w:sz w:val="24"/>
        </w:rPr>
        <w:t xml:space="preserve"> керамик. На первом этапе полированные образцы подвергались одноосному давлению 30 МПа при температуре 1440</w:t>
      </w:r>
      <w:proofErr w:type="gramStart"/>
      <w:r w:rsidR="00CA6989">
        <w:rPr>
          <w:rFonts w:ascii="Times New Roman" w:hAnsi="Times New Roman" w:cs="Times New Roman"/>
          <w:sz w:val="24"/>
        </w:rPr>
        <w:t>°С</w:t>
      </w:r>
      <w:proofErr w:type="gramEnd"/>
      <w:r w:rsidR="00CA6989">
        <w:rPr>
          <w:rFonts w:ascii="Times New Roman" w:hAnsi="Times New Roman" w:cs="Times New Roman"/>
          <w:sz w:val="24"/>
        </w:rPr>
        <w:t xml:space="preserve"> в течении 2 часов. На втором этапе они обжигались в вакууме при температуре 1780</w:t>
      </w:r>
      <w:proofErr w:type="gramStart"/>
      <w:r w:rsidR="00CA6989">
        <w:rPr>
          <w:rFonts w:ascii="Times New Roman" w:hAnsi="Times New Roman" w:cs="Times New Roman"/>
          <w:sz w:val="24"/>
        </w:rPr>
        <w:t>°С</w:t>
      </w:r>
      <w:proofErr w:type="gramEnd"/>
      <w:r w:rsidR="00CA6989">
        <w:rPr>
          <w:rFonts w:ascii="Times New Roman" w:hAnsi="Times New Roman" w:cs="Times New Roman"/>
          <w:sz w:val="24"/>
        </w:rPr>
        <w:t xml:space="preserve"> в течении 20 часов. Исследования показали, что границы раздела керамик </w:t>
      </w:r>
      <w:proofErr w:type="spellStart"/>
      <w:r w:rsidR="00CA6989">
        <w:rPr>
          <w:rFonts w:ascii="Times New Roman" w:hAnsi="Times New Roman" w:cs="Times New Roman"/>
          <w:sz w:val="24"/>
        </w:rPr>
        <w:t>исчезди</w:t>
      </w:r>
      <w:proofErr w:type="spellEnd"/>
      <w:r w:rsidR="00CA69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6989">
        <w:rPr>
          <w:rFonts w:ascii="Times New Roman" w:hAnsi="Times New Roman" w:cs="Times New Roman"/>
          <w:sz w:val="24"/>
        </w:rPr>
        <w:t>в следствие</w:t>
      </w:r>
      <w:proofErr w:type="gramEnd"/>
      <w:r w:rsidR="00CA6989">
        <w:rPr>
          <w:rFonts w:ascii="Times New Roman" w:hAnsi="Times New Roman" w:cs="Times New Roman"/>
          <w:sz w:val="24"/>
        </w:rPr>
        <w:t xml:space="preserve"> рекристаллизации. Измерения коэффициента ослабления показали, что он остался на прежнем уровне.</w:t>
      </w:r>
    </w:p>
    <w:p w:rsidR="00BF1EF2" w:rsidRPr="00BF1EF2" w:rsidRDefault="00BF1EF2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 xml:space="preserve">Совместно с </w:t>
      </w:r>
      <w:proofErr w:type="spellStart"/>
      <w:r w:rsidRPr="00BF1EF2">
        <w:rPr>
          <w:rFonts w:ascii="Times New Roman" w:hAnsi="Times New Roman" w:cs="Times New Roman"/>
          <w:sz w:val="24"/>
        </w:rPr>
        <w:t>УрФУ</w:t>
      </w:r>
      <w:proofErr w:type="spellEnd"/>
      <w:r w:rsidRPr="00BF1E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1EF2">
        <w:rPr>
          <w:rFonts w:ascii="Times New Roman" w:hAnsi="Times New Roman" w:cs="Times New Roman"/>
          <w:sz w:val="24"/>
        </w:rPr>
        <w:t>создан</w:t>
      </w:r>
      <w:proofErr w:type="gramEnd"/>
      <w:r w:rsidRPr="00BF1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EF2">
        <w:rPr>
          <w:rFonts w:ascii="Times New Roman" w:hAnsi="Times New Roman" w:cs="Times New Roman"/>
          <w:sz w:val="24"/>
          <w:lang w:val="en-US"/>
        </w:rPr>
        <w:t>Ce</w:t>
      </w:r>
      <w:proofErr w:type="spellEnd"/>
      <w:r w:rsidRPr="00BF1EF2">
        <w:rPr>
          <w:rFonts w:ascii="Times New Roman" w:hAnsi="Times New Roman" w:cs="Times New Roman"/>
          <w:sz w:val="24"/>
        </w:rPr>
        <w:t>:</w:t>
      </w:r>
      <w:proofErr w:type="gramStart"/>
      <w:r w:rsidRPr="00BF1EF2">
        <w:rPr>
          <w:rFonts w:ascii="Times New Roman" w:hAnsi="Times New Roman" w:cs="Times New Roman"/>
          <w:sz w:val="24"/>
          <w:lang w:val="en-US"/>
        </w:rPr>
        <w:t>YAG</w:t>
      </w:r>
      <w:r w:rsidRPr="00BF1EF2">
        <w:rPr>
          <w:rFonts w:ascii="Times New Roman" w:hAnsi="Times New Roman" w:cs="Times New Roman"/>
          <w:sz w:val="24"/>
        </w:rPr>
        <w:t xml:space="preserve"> сцинтиллятор, обладающий хорошими временными характеристиками и большим </w:t>
      </w:r>
      <w:proofErr w:type="spellStart"/>
      <w:r w:rsidRPr="00BF1EF2">
        <w:rPr>
          <w:rFonts w:ascii="Times New Roman" w:hAnsi="Times New Roman" w:cs="Times New Roman"/>
          <w:sz w:val="24"/>
        </w:rPr>
        <w:t>световыходом</w:t>
      </w:r>
      <w:proofErr w:type="spellEnd"/>
      <w:r w:rsidRPr="00BF1EF2">
        <w:rPr>
          <w:rFonts w:ascii="Times New Roman" w:hAnsi="Times New Roman" w:cs="Times New Roman"/>
          <w:sz w:val="24"/>
        </w:rPr>
        <w:t>.</w:t>
      </w:r>
      <w:proofErr w:type="gramEnd"/>
    </w:p>
    <w:p w:rsidR="00BF1EF2" w:rsidRPr="00BF1EF2" w:rsidRDefault="00BF1EF2" w:rsidP="00603F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EF2">
        <w:rPr>
          <w:rFonts w:ascii="Times New Roman" w:hAnsi="Times New Roman" w:cs="Times New Roman"/>
          <w:sz w:val="24"/>
        </w:rPr>
        <w:t>Полученные результаты могут служить основой технологии синтеза ряда лазерных керамик.</w:t>
      </w:r>
    </w:p>
    <w:p w:rsidR="00A6355B" w:rsidRDefault="00A6355B" w:rsidP="00A6355B">
      <w:pPr>
        <w:jc w:val="both"/>
        <w:rPr>
          <w:rFonts w:ascii="Times New Roman" w:hAnsi="Times New Roman" w:cs="Times New Roman"/>
        </w:rPr>
      </w:pPr>
    </w:p>
    <w:p w:rsidR="00BF1EF2" w:rsidRPr="00132BF0" w:rsidRDefault="00BF1EF2" w:rsidP="00A6355B">
      <w:pPr>
        <w:jc w:val="both"/>
        <w:rPr>
          <w:rFonts w:ascii="Times New Roman" w:hAnsi="Times New Roman" w:cs="Times New Roman"/>
          <w:sz w:val="24"/>
        </w:rPr>
      </w:pPr>
      <w:r w:rsidRPr="00132BF0">
        <w:rPr>
          <w:rFonts w:ascii="Times New Roman" w:hAnsi="Times New Roman" w:cs="Times New Roman"/>
          <w:sz w:val="24"/>
        </w:rPr>
        <w:t>Список литературы</w:t>
      </w:r>
    </w:p>
    <w:p w:rsidR="00BF1EF2" w:rsidRPr="00132BF0" w:rsidRDefault="00BF1EF2" w:rsidP="00BF1EF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32BF0">
        <w:rPr>
          <w:rFonts w:ascii="Times New Roman" w:hAnsi="Times New Roman" w:cs="Times New Roman"/>
          <w:sz w:val="24"/>
          <w:lang w:val="en-US"/>
        </w:rPr>
        <w:t>Ikesue</w:t>
      </w:r>
      <w:proofErr w:type="spellEnd"/>
      <w:r w:rsidRPr="00132BF0">
        <w:rPr>
          <w:rFonts w:ascii="Times New Roman" w:hAnsi="Times New Roman" w:cs="Times New Roman"/>
          <w:sz w:val="24"/>
          <w:lang w:val="en-US"/>
        </w:rPr>
        <w:t xml:space="preserve"> A., Kinoshita T., </w:t>
      </w:r>
      <w:proofErr w:type="spellStart"/>
      <w:r w:rsidRPr="00132BF0">
        <w:rPr>
          <w:rFonts w:ascii="Times New Roman" w:hAnsi="Times New Roman" w:cs="Times New Roman"/>
          <w:sz w:val="24"/>
          <w:lang w:val="en-US"/>
        </w:rPr>
        <w:t>Kamata</w:t>
      </w:r>
      <w:proofErr w:type="spellEnd"/>
      <w:r w:rsidRPr="00132BF0">
        <w:rPr>
          <w:rFonts w:ascii="Times New Roman" w:hAnsi="Times New Roman" w:cs="Times New Roman"/>
          <w:sz w:val="24"/>
          <w:lang w:val="en-US"/>
        </w:rPr>
        <w:t xml:space="preserve"> K. and Yoshida K. / </w:t>
      </w:r>
      <w:r w:rsidR="00132BF0" w:rsidRPr="00132BF0">
        <w:rPr>
          <w:rFonts w:ascii="Times New Roman" w:hAnsi="Times New Roman" w:cs="Times New Roman"/>
          <w:sz w:val="24"/>
          <w:lang w:val="en-US"/>
        </w:rPr>
        <w:t xml:space="preserve">Fabrication and optical properties of high-performance polycrystalline </w:t>
      </w:r>
      <w:proofErr w:type="spellStart"/>
      <w:r w:rsidR="00132BF0" w:rsidRPr="00132BF0">
        <w:rPr>
          <w:rFonts w:ascii="Times New Roman" w:hAnsi="Times New Roman" w:cs="Times New Roman"/>
          <w:sz w:val="24"/>
          <w:lang w:val="en-US"/>
        </w:rPr>
        <w:t>Nd</w:t>
      </w:r>
      <w:proofErr w:type="gramStart"/>
      <w:r w:rsidR="00132BF0" w:rsidRPr="00132BF0">
        <w:rPr>
          <w:rFonts w:ascii="Times New Roman" w:hAnsi="Times New Roman" w:cs="Times New Roman"/>
          <w:sz w:val="24"/>
          <w:lang w:val="en-US"/>
        </w:rPr>
        <w:t>:YAG</w:t>
      </w:r>
      <w:proofErr w:type="spellEnd"/>
      <w:proofErr w:type="gramEnd"/>
      <w:r w:rsidR="00132BF0" w:rsidRPr="00132BF0">
        <w:rPr>
          <w:rFonts w:ascii="Times New Roman" w:hAnsi="Times New Roman" w:cs="Times New Roman"/>
          <w:sz w:val="24"/>
          <w:lang w:val="en-US"/>
        </w:rPr>
        <w:t xml:space="preserve"> ceramics for solid-state lasers // J. </w:t>
      </w:r>
      <w:proofErr w:type="spellStart"/>
      <w:r w:rsidR="00132BF0" w:rsidRPr="00132BF0">
        <w:rPr>
          <w:rFonts w:ascii="Times New Roman" w:hAnsi="Times New Roman" w:cs="Times New Roman"/>
          <w:sz w:val="24"/>
          <w:lang w:val="en-US"/>
        </w:rPr>
        <w:t>Am.Ceram</w:t>
      </w:r>
      <w:proofErr w:type="spellEnd"/>
      <w:r w:rsidR="00132BF0" w:rsidRPr="00132BF0">
        <w:rPr>
          <w:rFonts w:ascii="Times New Roman" w:hAnsi="Times New Roman" w:cs="Times New Roman"/>
          <w:sz w:val="24"/>
          <w:lang w:val="en-US"/>
        </w:rPr>
        <w:t>. Soc., 1995, vol. 78(4), p.1033-1040</w:t>
      </w:r>
      <w:r w:rsidR="00132BF0">
        <w:rPr>
          <w:rFonts w:ascii="Times New Roman" w:hAnsi="Times New Roman" w:cs="Times New Roman"/>
          <w:sz w:val="24"/>
          <w:lang w:val="en-US"/>
        </w:rPr>
        <w:t>.</w:t>
      </w:r>
    </w:p>
    <w:p w:rsidR="00132BF0" w:rsidRDefault="00132BF0" w:rsidP="00BF1EF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132BF0">
        <w:rPr>
          <w:rFonts w:ascii="Times New Roman" w:hAnsi="Times New Roman" w:cs="Times New Roman"/>
          <w:sz w:val="24"/>
          <w:lang w:val="en-US"/>
        </w:rPr>
        <w:t xml:space="preserve">Latham W.P., </w:t>
      </w:r>
      <w:proofErr w:type="spellStart"/>
      <w:r w:rsidRPr="00132BF0">
        <w:rPr>
          <w:rFonts w:ascii="Times New Roman" w:hAnsi="Times New Roman" w:cs="Times New Roman"/>
          <w:sz w:val="24"/>
          <w:lang w:val="en-US"/>
        </w:rPr>
        <w:t>Lobad</w:t>
      </w:r>
      <w:proofErr w:type="spellEnd"/>
      <w:r w:rsidRPr="00132BF0">
        <w:rPr>
          <w:rFonts w:ascii="Times New Roman" w:hAnsi="Times New Roman" w:cs="Times New Roman"/>
          <w:sz w:val="24"/>
          <w:lang w:val="en-US"/>
        </w:rPr>
        <w:t xml:space="preserve"> A., Newell T.C., </w:t>
      </w:r>
      <w:proofErr w:type="spellStart"/>
      <w:r w:rsidRPr="00132BF0">
        <w:rPr>
          <w:rFonts w:ascii="Times New Roman" w:hAnsi="Times New Roman" w:cs="Times New Roman"/>
          <w:sz w:val="24"/>
          <w:lang w:val="en-US"/>
        </w:rPr>
        <w:t>Stalna</w:t>
      </w:r>
      <w:proofErr w:type="spellEnd"/>
      <w:r w:rsidRPr="00132BF0">
        <w:rPr>
          <w:rFonts w:ascii="Times New Roman" w:hAnsi="Times New Roman" w:cs="Times New Roman"/>
          <w:sz w:val="24"/>
          <w:lang w:val="en-US"/>
        </w:rPr>
        <w:t xml:space="preserve"> Ker D., Phipps C. / 6.5 kW, </w:t>
      </w:r>
      <w:proofErr w:type="spellStart"/>
      <w:r w:rsidRPr="00132BF0">
        <w:rPr>
          <w:rFonts w:ascii="Times New Roman" w:hAnsi="Times New Roman" w:cs="Times New Roman"/>
          <w:sz w:val="24"/>
          <w:lang w:val="en-US"/>
        </w:rPr>
        <w:t>Yb:YAG</w:t>
      </w:r>
      <w:proofErr w:type="spellEnd"/>
      <w:r w:rsidRPr="00132BF0">
        <w:rPr>
          <w:rFonts w:ascii="Times New Roman" w:hAnsi="Times New Roman" w:cs="Times New Roman"/>
          <w:sz w:val="24"/>
          <w:lang w:val="en-US"/>
        </w:rPr>
        <w:t xml:space="preserve"> ceramic thin disk laser // </w:t>
      </w:r>
      <w:r>
        <w:rPr>
          <w:rFonts w:ascii="Times New Roman" w:hAnsi="Times New Roman" w:cs="Times New Roman"/>
          <w:sz w:val="24"/>
          <w:lang w:val="en-US"/>
        </w:rPr>
        <w:t xml:space="preserve">AIP Conf. Proc., 2010,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lang w:val="en-US"/>
        </w:rPr>
        <w:t>1278, p.758-764.</w:t>
      </w:r>
    </w:p>
    <w:p w:rsidR="00132BF0" w:rsidRPr="00132BF0" w:rsidRDefault="00132BF0" w:rsidP="00132B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Northrop Grumman Scales New Heights in Electric Laser </w:t>
      </w:r>
      <w:proofErr w:type="gramStart"/>
      <w:r>
        <w:rPr>
          <w:rFonts w:ascii="Times New Roman" w:hAnsi="Times New Roman" w:cs="Times New Roman"/>
          <w:sz w:val="24"/>
          <w:lang w:val="en-US"/>
        </w:rPr>
        <w:t>Power,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Achieves 100 Kilowatts From a Solid-State Laser. Web-site: </w:t>
      </w:r>
      <w:hyperlink r:id="rId8" w:history="1">
        <w:r w:rsidRPr="00D4460B">
          <w:rPr>
            <w:rStyle w:val="a3"/>
            <w:rFonts w:ascii="Times New Roman" w:hAnsi="Times New Roman" w:cs="Times New Roman"/>
            <w:sz w:val="24"/>
            <w:lang w:val="en-US"/>
          </w:rPr>
          <w:t>http://news.northropgrumman.com/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news / releases/ photo-release-northrop-grumman-scales-new-heights-in-electric-laser-power-achieves-100-kilowatts-from-a-solid-state-laser.</w:t>
      </w:r>
    </w:p>
    <w:sectPr w:rsidR="00132BF0" w:rsidRPr="0013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731"/>
    <w:multiLevelType w:val="hybridMultilevel"/>
    <w:tmpl w:val="859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B"/>
    <w:rsid w:val="00132BF0"/>
    <w:rsid w:val="001D0442"/>
    <w:rsid w:val="00456860"/>
    <w:rsid w:val="00487F89"/>
    <w:rsid w:val="00603FE5"/>
    <w:rsid w:val="006740A5"/>
    <w:rsid w:val="006C2FA8"/>
    <w:rsid w:val="009A1D74"/>
    <w:rsid w:val="00A6355B"/>
    <w:rsid w:val="00BF1EF2"/>
    <w:rsid w:val="00CA6989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orthropgrumman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osipov@iep.ur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26DE-66C9-471A-B1B9-85BCBF55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cp:lastPrinted>2017-10-31T10:46:00Z</cp:lastPrinted>
  <dcterms:created xsi:type="dcterms:W3CDTF">2017-10-31T09:45:00Z</dcterms:created>
  <dcterms:modified xsi:type="dcterms:W3CDTF">2017-10-31T14:02:00Z</dcterms:modified>
</cp:coreProperties>
</file>